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8C168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>s Weekly Meeting Agenda March 2</w:t>
      </w:r>
      <w:r w:rsidR="003A0BC6">
        <w:rPr>
          <w:b/>
          <w:bCs/>
          <w:color w:val="000000"/>
          <w:sz w:val="26"/>
          <w:szCs w:val="26"/>
        </w:rPr>
        <w:t>9</w:t>
      </w:r>
      <w:r w:rsidR="002D6FB6" w:rsidRPr="002D6FB6">
        <w:rPr>
          <w:b/>
          <w:bCs/>
          <w:color w:val="000000"/>
          <w:sz w:val="26"/>
          <w:szCs w:val="26"/>
          <w:vertAlign w:val="superscript"/>
        </w:rPr>
        <w:t>th</w:t>
      </w:r>
      <w:r w:rsidRPr="008C1688">
        <w:rPr>
          <w:b/>
          <w:bCs/>
          <w:color w:val="000000"/>
          <w:sz w:val="26"/>
          <w:szCs w:val="26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1688" w:rsidRDefault="008C1688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C1688" w:rsidTr="00AB6DC0">
        <w:trPr>
          <w:trHeight w:val="1160"/>
        </w:trPr>
        <w:tc>
          <w:tcPr>
            <w:tcW w:w="721" w:type="dxa"/>
          </w:tcPr>
          <w:p w:rsidR="008C1688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557" w:type="dxa"/>
          </w:tcPr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8C1688" w:rsidRDefault="008C1688" w:rsidP="00D96E9C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8C1688" w:rsidRDefault="008C1688" w:rsidP="00D96E9C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798B" w:rsidRDefault="0046798B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798B" w:rsidRDefault="0046798B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1688" w:rsidRPr="00222A4C" w:rsidRDefault="008C1688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7573C" w:rsidTr="00AB6DC0">
        <w:trPr>
          <w:trHeight w:val="1160"/>
        </w:trPr>
        <w:tc>
          <w:tcPr>
            <w:tcW w:w="721" w:type="dxa"/>
          </w:tcPr>
          <w:p w:rsidR="0047573C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27D48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FF6E6A" w:rsidRDefault="0046798B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Happy Destiny House</w:t>
            </w:r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C46B7">
              <w:t xml:space="preserve">understand </w:t>
            </w:r>
            <w:r w:rsidR="0046798B">
              <w:t>the new resource in the community, and how to connect clients to it</w:t>
            </w:r>
            <w:r w:rsidR="005C46B7">
              <w:t>.</w:t>
            </w:r>
          </w:p>
          <w:p w:rsidR="0047573C" w:rsidRDefault="00FF6E6A" w:rsidP="00FF6E6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46798B">
              <w:rPr>
                <w:color w:val="000000"/>
              </w:rPr>
              <w:t>Breanne Willard, Happy Destiny House</w:t>
            </w:r>
          </w:p>
          <w:p w:rsidR="0046798B" w:rsidRDefault="0046798B" w:rsidP="00FF6E6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798B" w:rsidRDefault="0046798B" w:rsidP="00FF6E6A">
            <w:pPr>
              <w:spacing w:before="100" w:beforeAutospacing="1" w:after="100" w:afterAutospacing="1"/>
              <w:contextualSpacing/>
            </w:pPr>
            <w:bookmarkStart w:id="0" w:name="_GoBack"/>
            <w:bookmarkEnd w:id="0"/>
          </w:p>
          <w:p w:rsidR="008C1688" w:rsidRDefault="008C1688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EE5CD2" w:rsidRDefault="00EE5CD2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D111EB" w:rsidTr="00AB6DC0">
        <w:trPr>
          <w:trHeight w:val="1160"/>
        </w:trPr>
        <w:tc>
          <w:tcPr>
            <w:tcW w:w="721" w:type="dxa"/>
          </w:tcPr>
          <w:p w:rsidR="00D111EB" w:rsidRDefault="009A5FA3" w:rsidP="0046798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E19EF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  <w:r w:rsidR="0046798B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FF6E6A" w:rsidRPr="008C1688" w:rsidRDefault="0046798B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Committee Work Time</w:t>
            </w:r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798B">
              <w:t>Break out into committees to get stuff done</w:t>
            </w:r>
          </w:p>
          <w:p w:rsidR="007529BA" w:rsidRDefault="00FF6E6A" w:rsidP="0046798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46798B">
              <w:rPr>
                <w:color w:val="000000"/>
              </w:rPr>
              <w:t>James Pogue, Comprehensive Life Resources</w:t>
            </w:r>
          </w:p>
          <w:p w:rsidR="0046798B" w:rsidRDefault="0046798B" w:rsidP="0046798B">
            <w:pPr>
              <w:pStyle w:val="ListParagraph"/>
              <w:numPr>
                <w:ilvl w:val="1"/>
                <w:numId w:val="10"/>
              </w:numPr>
              <w:ind w:left="720"/>
              <w:contextualSpacing w:val="0"/>
            </w:pPr>
            <w:r>
              <w:t>Workforce Development</w:t>
            </w:r>
          </w:p>
          <w:p w:rsidR="0046798B" w:rsidRDefault="0046798B" w:rsidP="0046798B">
            <w:pPr>
              <w:pStyle w:val="ListParagraph"/>
              <w:numPr>
                <w:ilvl w:val="1"/>
                <w:numId w:val="10"/>
              </w:numPr>
              <w:ind w:left="720"/>
              <w:contextualSpacing w:val="0"/>
            </w:pPr>
            <w:r>
              <w:t>Advocacy</w:t>
            </w:r>
          </w:p>
          <w:p w:rsidR="0046798B" w:rsidRDefault="0046798B" w:rsidP="0046798B">
            <w:pPr>
              <w:pStyle w:val="ListParagraph"/>
              <w:numPr>
                <w:ilvl w:val="1"/>
                <w:numId w:val="10"/>
              </w:numPr>
              <w:ind w:left="720"/>
              <w:contextualSpacing w:val="0"/>
            </w:pPr>
            <w:r>
              <w:t>Innovative Shelter</w:t>
            </w:r>
          </w:p>
          <w:p w:rsidR="0046798B" w:rsidRDefault="0046798B" w:rsidP="0046798B">
            <w:pPr>
              <w:pStyle w:val="ListParagraph"/>
              <w:numPr>
                <w:ilvl w:val="1"/>
                <w:numId w:val="10"/>
              </w:numPr>
              <w:ind w:left="720"/>
              <w:contextualSpacing w:val="0"/>
            </w:pPr>
            <w:r>
              <w:t>Daily Meaningful Activity</w:t>
            </w:r>
          </w:p>
          <w:p w:rsidR="0046798B" w:rsidRDefault="0046798B" w:rsidP="0046798B">
            <w:pPr>
              <w:pStyle w:val="ListParagraph"/>
              <w:numPr>
                <w:ilvl w:val="1"/>
                <w:numId w:val="10"/>
              </w:numPr>
              <w:ind w:left="720"/>
              <w:contextualSpacing w:val="0"/>
            </w:pPr>
            <w:r>
              <w:t>Eviction Mitigation</w:t>
            </w:r>
          </w:p>
          <w:p w:rsidR="0046798B" w:rsidRDefault="0046798B" w:rsidP="0046798B">
            <w:pPr>
              <w:pStyle w:val="ListParagraph"/>
              <w:numPr>
                <w:ilvl w:val="1"/>
                <w:numId w:val="10"/>
              </w:numPr>
              <w:ind w:left="720"/>
              <w:contextualSpacing w:val="0"/>
            </w:pPr>
            <w:r>
              <w:t>Racial Equity</w:t>
            </w:r>
          </w:p>
          <w:p w:rsidR="008C1688" w:rsidRDefault="008C1688" w:rsidP="0046798B">
            <w:pPr>
              <w:contextualSpacing/>
              <w:rPr>
                <w:color w:val="000000"/>
              </w:rPr>
            </w:pPr>
          </w:p>
          <w:p w:rsidR="0046798B" w:rsidRDefault="0046798B" w:rsidP="0046798B">
            <w:pPr>
              <w:contextualSpacing/>
              <w:rPr>
                <w:color w:val="000000"/>
              </w:rPr>
            </w:pPr>
          </w:p>
          <w:p w:rsidR="00EE5CD2" w:rsidRPr="00B23CEF" w:rsidRDefault="00EE5CD2" w:rsidP="00BD2910">
            <w:pPr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A3970">
              <w:rPr>
                <w:color w:val="000000"/>
              </w:rPr>
              <w:t>55</w:t>
            </w:r>
          </w:p>
        </w:tc>
        <w:tc>
          <w:tcPr>
            <w:tcW w:w="9557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798B" w:rsidRDefault="0046798B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Pr="00EA00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2A3970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23CEF" w:rsidRDefault="00B23CEF" w:rsidP="00BF2E3C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BF2E3C" w:rsidRPr="00BF2E3C">
              <w:rPr>
                <w:color w:val="000000"/>
              </w:rPr>
              <w:t xml:space="preserve">“True glory consists in doing what deserves to be written, in </w:t>
            </w:r>
            <w:r w:rsidR="00BF2E3C">
              <w:rPr>
                <w:color w:val="000000"/>
              </w:rPr>
              <w:t xml:space="preserve">writing what deserves to be </w:t>
            </w:r>
            <w:r w:rsidR="00BF2E3C" w:rsidRPr="00BF2E3C">
              <w:rPr>
                <w:color w:val="000000"/>
              </w:rPr>
              <w:t>read, and in so living as to make the world happier and better for our living in it.” ― Pliny the Elder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C421E8">
        <w:t>April</w:t>
      </w:r>
      <w:r w:rsidR="00BD2910">
        <w:t xml:space="preserve"> </w:t>
      </w:r>
      <w:r w:rsidR="00C421E8">
        <w:t>5</w:t>
      </w:r>
      <w:r w:rsidR="00BD2910" w:rsidRPr="00BD2910">
        <w:rPr>
          <w:vertAlign w:val="superscript"/>
        </w:rPr>
        <w:t>th</w:t>
      </w:r>
      <w:r w:rsidR="00BD2910">
        <w:rPr>
          <w:vertAlign w:val="superscript"/>
        </w:rPr>
        <w:t>,</w:t>
      </w:r>
      <w:r w:rsidR="00B909DD">
        <w:t xml:space="preserve">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DF0C63" w:rsidRDefault="00DF0C63">
      <w:r w:rsidRPr="005A3CC0">
        <w:t xml:space="preserve">Coming meetings, meeting minutes, listserv self-signup and more at </w:t>
      </w:r>
      <w:hyperlink r:id="rId7" w:history="1">
        <w:r w:rsidRPr="005A3CC0">
          <w:rPr>
            <w:rStyle w:val="Hyperlink"/>
          </w:rPr>
          <w:t>http://www.pchomeless.org/</w:t>
        </w:r>
      </w:hyperlink>
      <w:r w:rsidRPr="005A3CC0">
        <w:t xml:space="preserve"> </w:t>
      </w:r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8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9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10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1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2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3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4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5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6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7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18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19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3668E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807BF"/>
    <w:rsid w:val="002A3970"/>
    <w:rsid w:val="002A4051"/>
    <w:rsid w:val="002C7A7A"/>
    <w:rsid w:val="002D205B"/>
    <w:rsid w:val="002D6FB6"/>
    <w:rsid w:val="002F30F1"/>
    <w:rsid w:val="00337EB8"/>
    <w:rsid w:val="00343397"/>
    <w:rsid w:val="00346DA9"/>
    <w:rsid w:val="00355F58"/>
    <w:rsid w:val="00364175"/>
    <w:rsid w:val="003A0BC6"/>
    <w:rsid w:val="003B0245"/>
    <w:rsid w:val="003D1F8E"/>
    <w:rsid w:val="003F5A69"/>
    <w:rsid w:val="0040103B"/>
    <w:rsid w:val="00404A59"/>
    <w:rsid w:val="00412196"/>
    <w:rsid w:val="00420AD8"/>
    <w:rsid w:val="00431BC6"/>
    <w:rsid w:val="0046798B"/>
    <w:rsid w:val="0047573C"/>
    <w:rsid w:val="0048028C"/>
    <w:rsid w:val="004E3C88"/>
    <w:rsid w:val="00504E66"/>
    <w:rsid w:val="00522996"/>
    <w:rsid w:val="005357BE"/>
    <w:rsid w:val="00580F82"/>
    <w:rsid w:val="005813DF"/>
    <w:rsid w:val="00591054"/>
    <w:rsid w:val="005A0FA6"/>
    <w:rsid w:val="005B580D"/>
    <w:rsid w:val="005C46B7"/>
    <w:rsid w:val="005D4945"/>
    <w:rsid w:val="005D4C8F"/>
    <w:rsid w:val="005E34CA"/>
    <w:rsid w:val="00605F14"/>
    <w:rsid w:val="00614353"/>
    <w:rsid w:val="006175E1"/>
    <w:rsid w:val="00633520"/>
    <w:rsid w:val="00647769"/>
    <w:rsid w:val="00672B10"/>
    <w:rsid w:val="006C427B"/>
    <w:rsid w:val="006E7977"/>
    <w:rsid w:val="006F6CEA"/>
    <w:rsid w:val="00701299"/>
    <w:rsid w:val="0070457A"/>
    <w:rsid w:val="007525A3"/>
    <w:rsid w:val="007529BA"/>
    <w:rsid w:val="00793796"/>
    <w:rsid w:val="007A65E3"/>
    <w:rsid w:val="007B4F23"/>
    <w:rsid w:val="007B6692"/>
    <w:rsid w:val="007F1403"/>
    <w:rsid w:val="00863A34"/>
    <w:rsid w:val="008C1688"/>
    <w:rsid w:val="008C408B"/>
    <w:rsid w:val="00927D48"/>
    <w:rsid w:val="00997E89"/>
    <w:rsid w:val="009A5FA3"/>
    <w:rsid w:val="009D0DD8"/>
    <w:rsid w:val="009E19EF"/>
    <w:rsid w:val="009F0CA2"/>
    <w:rsid w:val="00A0423B"/>
    <w:rsid w:val="00A04CC1"/>
    <w:rsid w:val="00A07E1C"/>
    <w:rsid w:val="00A62EC3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BF2E3C"/>
    <w:rsid w:val="00C3493B"/>
    <w:rsid w:val="00C421E8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D03C0B"/>
    <w:rsid w:val="00D111EB"/>
    <w:rsid w:val="00D95596"/>
    <w:rsid w:val="00DA381F"/>
    <w:rsid w:val="00DB1F63"/>
    <w:rsid w:val="00DB4A86"/>
    <w:rsid w:val="00DF0C63"/>
    <w:rsid w:val="00E00FEF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37D84"/>
    <w:rsid w:val="00F76F6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erso@Tacoma.K12.Wa.US" TargetMode="External"/><Relationship Id="rId13" Type="http://schemas.openxmlformats.org/officeDocument/2006/relationships/hyperlink" Target="mailto:larryseaquist@comcast.net" TargetMode="External"/><Relationship Id="rId18" Type="http://schemas.openxmlformats.org/officeDocument/2006/relationships/hyperlink" Target="mailto:pammsilver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chomeless.org/" TargetMode="External"/><Relationship Id="rId12" Type="http://schemas.openxmlformats.org/officeDocument/2006/relationships/hyperlink" Target="mailto:bchun@mdc-hope.org" TargetMode="External"/><Relationship Id="rId17" Type="http://schemas.openxmlformats.org/officeDocument/2006/relationships/hyperlink" Target="mailto:ministrycounseling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rie.Ching@MolinaHealthCar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joseph@soundoutreac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pdrutis@nctacoma.org" TargetMode="External"/><Relationship Id="rId10" Type="http://schemas.openxmlformats.org/officeDocument/2006/relationships/hyperlink" Target="mailto:Vocationssherri@valeovocation.org" TargetMode="External"/><Relationship Id="rId19" Type="http://schemas.openxmlformats.org/officeDocument/2006/relationships/hyperlink" Target="mailto:gbrackman@cmhsh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B@goodwillwa.org" TargetMode="External"/><Relationship Id="rId14" Type="http://schemas.openxmlformats.org/officeDocument/2006/relationships/hyperlink" Target="mailto:stewdahl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2018-11-15T20:16:00Z</cp:lastPrinted>
  <dcterms:created xsi:type="dcterms:W3CDTF">2019-03-28T16:52:00Z</dcterms:created>
  <dcterms:modified xsi:type="dcterms:W3CDTF">2019-03-28T20:59:00Z</dcterms:modified>
</cp:coreProperties>
</file>