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</w:t>
      </w:r>
      <w:r>
        <w:rPr>
          <w:b w:val="1"/>
          <w:bCs w:val="1"/>
          <w:sz w:val="26"/>
          <w:szCs w:val="26"/>
          <w:rtl w:val="0"/>
          <w:lang w:val="en-US"/>
        </w:rPr>
        <w:t>Dec. 18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</w:t>
            </w:r>
            <w:r>
              <w:rPr>
                <w:shd w:val="nil" w:color="auto" w:fill="auto"/>
                <w:rtl w:val="0"/>
                <w:lang w:val="en-US"/>
              </w:rPr>
              <w:t>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Rosemary Powers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9:02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This Week on the Streets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A quick update about what is happening with outreach teams and on the streets over the last week.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Nathan Blackmer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Safe Encampment Summit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Learn the status of this proposal for a Safe Encampment Summit to be held on Dec. 21, 2020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Fonts w:ascii="Calibri" w:cs="Arial Unicode MS" w:hAnsi="Calibri" w:eastAsia="Arial Unicode MS"/>
              </w:rPr>
              <w:t>9:25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Winter Shelter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Purpose: Understand the status of the effort to create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more winter shelter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across Pierce County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Kevin Glackin-Coley,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"mailto:kglackincoley@pchomeless.org"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kglackincoley@pchomeless.org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YMCA Programs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Learn about the current programs being offered by the YMCA of Pierce and Kitsap Counties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Toby Roberts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tl w:val="0"/>
                <w:lang w:val="en-US"/>
              </w:rPr>
              <w:t>9:50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Follow up: Messaging ideas from last week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s breakout session re: encouraging Pierce County to pass the 1/10th of 1% sales tax for affordable housing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Carolyn Read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TacomaProBono updates</w:t>
            </w:r>
          </w:p>
          <w:p>
            <w:pPr>
              <w:pStyle w:val="paragraph"/>
              <w:rPr>
                <w:shd w:val="nil" w:color="auto" w:fill="auto"/>
              </w:rPr>
            </w:pPr>
            <w:r>
              <w:rPr>
                <w:rtl w:val="0"/>
                <w:lang w:val="en-US"/>
              </w:rPr>
              <w:t>Purpose: Make sure we understand current resources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Laurie Davenport</w:t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"mailto:valeri.knight@piercecountywa.gov"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valeri.knight@piercecountywa.gov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"mailto:eazcueta@cityoftacoma.org"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s-ES_tradnl"/>
              </w:rPr>
              <w:t>eazcueta@cityoftacoma.org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Carrie Ching</w:t>
            </w:r>
            <w:r>
              <w:rPr>
                <w:shd w:val="nil" w:color="auto" w:fill="auto"/>
                <w:rtl w:val="0"/>
                <w:lang w:val="en-US"/>
              </w:rPr>
              <w:t xml:space="preserve">, Tacoma Pierce County Health Department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"mailto:cching@tpchd.org"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cching@tpchd.org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Safe Parking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 Understand the work</w:t>
            </w:r>
            <w:r>
              <w:rPr>
                <w:shd w:val="nil" w:color="auto" w:fill="auto"/>
                <w:rtl w:val="0"/>
                <w:lang w:val="en-US"/>
              </w:rPr>
              <w:t xml:space="preserve"> and opportunities to advocate.</w:t>
            </w:r>
          </w:p>
          <w:p>
            <w:pPr>
              <w:pStyle w:val="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432" w:hanging="432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Networking</w:t>
            </w:r>
          </w:p>
          <w:p>
            <w:pPr>
              <w:pStyle w:val="Body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rPr>
          <w:b w:val="1"/>
          <w:bCs w:val="1"/>
          <w:sz w:val="26"/>
          <w:szCs w:val="26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Next Meeting: Friday, </w:t>
      </w:r>
      <w:r>
        <w:rPr>
          <w:sz w:val="24"/>
          <w:szCs w:val="24"/>
          <w:rtl w:val="0"/>
          <w:lang w:val="en-US"/>
        </w:rPr>
        <w:t>January 8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 B"/>
      </w:pPr>
    </w:p>
    <w:p>
      <w:pPr>
        <w:pStyle w:val="Body B"/>
        <w:ind w:left="720" w:right="720" w:firstLine="0"/>
        <w:rPr>
          <w:b w:val="1"/>
          <w:bCs w:val="1"/>
        </w:rPr>
      </w:pP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12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12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12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"/>
        <w:ind w:right="720"/>
        <w:rPr>
          <w:sz w:val="22"/>
          <w:szCs w:val="22"/>
        </w:rPr>
      </w:pP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(links we hope to have in the future)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 B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Advocacy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Carry Ching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sz w:val="22"/>
          <w:szCs w:val="22"/>
          <w:rtl w:val="0"/>
          <w:lang w:val="en-US"/>
        </w:rPr>
        <w:t>cching@tpchd.org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 B"/>
        <w:ind w:left="1440" w:right="720" w:firstLine="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 B"/>
        <w:ind w:left="1440" w:right="720" w:firstLine="0"/>
      </w:pPr>
      <w:r>
        <w:rPr>
          <w:sz w:val="22"/>
          <w:szCs w:val="22"/>
          <w:rtl w:val="0"/>
          <w:lang w:val="da-DK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2"/>
  </w:abstractNum>
  <w:abstractNum w:abstractNumId="1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