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6BBA" w14:textId="18DFB6B4" w:rsidR="00435527" w:rsidRPr="00435527" w:rsidRDefault="00435527" w:rsidP="00435527">
      <w:pPr>
        <w:jc w:val="center"/>
        <w:rPr>
          <w:b/>
          <w:bCs/>
          <w:sz w:val="28"/>
          <w:szCs w:val="28"/>
        </w:rPr>
      </w:pPr>
      <w:r w:rsidRPr="00435527">
        <w:rPr>
          <w:b/>
          <w:bCs/>
          <w:sz w:val="28"/>
          <w:szCs w:val="28"/>
        </w:rPr>
        <w:t>Power Utilities Assistance – Pierce County (outside of Tacoma)</w:t>
      </w:r>
    </w:p>
    <w:p w14:paraId="29DE1ABE" w14:textId="4F3E4B92" w:rsidR="009F04DE" w:rsidRPr="00435527" w:rsidRDefault="00E62CCF" w:rsidP="00435527">
      <w:pPr>
        <w:rPr>
          <w:b/>
          <w:bCs/>
        </w:rPr>
      </w:pPr>
      <w:r w:rsidRPr="00435527">
        <w:rPr>
          <w:b/>
          <w:bCs/>
        </w:rPr>
        <w:t xml:space="preserve">Energy Assistance Program (EAP)  </w:t>
      </w:r>
    </w:p>
    <w:p w14:paraId="62DB94BB" w14:textId="77777777" w:rsidR="00E62CCF" w:rsidRPr="00E62CCF" w:rsidRDefault="00E62CCF" w:rsidP="00E62CCF">
      <w:r w:rsidRPr="00E62CCF">
        <w:t xml:space="preserve">The Energy Assistance Program (EAP) pays heating bills directly to utility companies for eligible applicants living outside the city limits of Tacoma. Payments are based on eligible </w:t>
      </w:r>
      <w:proofErr w:type="gramStart"/>
      <w:r w:rsidRPr="00E62CCF">
        <w:t>household’s</w:t>
      </w:r>
      <w:proofErr w:type="gramEnd"/>
      <w:r w:rsidRPr="00E62CCF">
        <w:t xml:space="preserve"> fuel usage for the past 12 months and income. </w:t>
      </w:r>
    </w:p>
    <w:p w14:paraId="3F2FA076" w14:textId="07688A56" w:rsidR="00E62CCF" w:rsidRDefault="00E62CCF" w:rsidP="00E62CCF">
      <w:pPr>
        <w:numPr>
          <w:ilvl w:val="0"/>
          <w:numId w:val="1"/>
        </w:numPr>
      </w:pPr>
      <w:r w:rsidRPr="00E62CCF">
        <w:t>If your </w:t>
      </w:r>
      <w:r w:rsidRPr="00E62CCF">
        <w:rPr>
          <w:b/>
          <w:bCs/>
        </w:rPr>
        <w:t>power is off</w:t>
      </w:r>
      <w:r w:rsidRPr="00E62CCF">
        <w:t> call </w:t>
      </w:r>
      <w:r w:rsidRPr="00E62CCF">
        <w:rPr>
          <w:b/>
          <w:bCs/>
        </w:rPr>
        <w:t>253-798-3590, </w:t>
      </w:r>
      <w:r w:rsidRPr="00E62CCF">
        <w:t>leave a message and staff will call you back to make an appointment</w:t>
      </w:r>
    </w:p>
    <w:p w14:paraId="3734A36F" w14:textId="15909650" w:rsidR="00E62CCF" w:rsidRPr="00E62CCF" w:rsidRDefault="00E62CCF" w:rsidP="00E62CCF">
      <w:pPr>
        <w:rPr>
          <w:b/>
          <w:bCs/>
        </w:rPr>
      </w:pPr>
      <w:r w:rsidRPr="00E62CCF">
        <w:rPr>
          <w:b/>
          <w:bCs/>
        </w:rPr>
        <w:t>Eligibility Requirements:</w:t>
      </w:r>
    </w:p>
    <w:p w14:paraId="18395D59" w14:textId="77777777" w:rsidR="00E62CCF" w:rsidRPr="00E62CCF" w:rsidRDefault="00E62CCF" w:rsidP="00E62CCF">
      <w:pPr>
        <w:shd w:val="clear" w:color="auto" w:fill="FFFFFF"/>
        <w:spacing w:after="336" w:line="240" w:lineRule="auto"/>
        <w:rPr>
          <w:rFonts w:ascii="Lato" w:eastAsia="Times New Roman" w:hAnsi="Lato" w:cs="Times New Roman"/>
          <w:color w:val="222223"/>
          <w:kern w:val="0"/>
          <w14:ligatures w14:val="none"/>
        </w:rPr>
      </w:pPr>
      <w:r w:rsidRPr="00E62CCF">
        <w:rPr>
          <w:rFonts w:ascii="Lato" w:eastAsia="Times New Roman" w:hAnsi="Lato" w:cs="Times New Roman"/>
          <w:color w:val="222223"/>
          <w:kern w:val="0"/>
          <w14:ligatures w14:val="none"/>
        </w:rPr>
        <w:t>Eligible applicants must reside in Pierce County outside of the City of Tacoma, provide social security cards, a photo ID, and documents to verify your address and income. Applicants must also meet the below 2025-2026 guidelines to receive assistance: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660"/>
        <w:gridCol w:w="3761"/>
      </w:tblGrid>
      <w:tr w:rsidR="00E62CCF" w:rsidRPr="00E62CCF" w14:paraId="56949710" w14:textId="77777777" w:rsidTr="00E62CCF">
        <w:trPr>
          <w:tblHeader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1C324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BBED4E7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  <w:t> Family Size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1C324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2FA9D41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  <w:t>Monthly Income (LIHEAP)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1C324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36F797E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F5F5F5"/>
                <w:kern w:val="0"/>
                <w14:ligatures w14:val="none"/>
              </w:rPr>
              <w:t>Monthly Income (PSE Help)</w:t>
            </w:r>
          </w:p>
        </w:tc>
      </w:tr>
      <w:tr w:rsidR="00E62CCF" w:rsidRPr="00E62CCF" w14:paraId="68A8C90B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D7414CF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94F146E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$1,883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9CF8186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$5,408</w:t>
            </w:r>
          </w:p>
        </w:tc>
      </w:tr>
      <w:tr w:rsidR="00E62CCF" w:rsidRPr="00E62CCF" w14:paraId="4C69361A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E35A342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AC4E2E8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$2,555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E41C682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$6,179</w:t>
            </w:r>
          </w:p>
        </w:tc>
      </w:tr>
      <w:tr w:rsidR="00E62CCF" w:rsidRPr="00E62CCF" w14:paraId="642E5BBD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B4D6B38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4173323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$3,228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9119FDA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$6,950</w:t>
            </w:r>
          </w:p>
        </w:tc>
      </w:tr>
      <w:tr w:rsidR="00E62CCF" w:rsidRPr="00E62CCF" w14:paraId="35F5FF18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18250ED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4 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F678A2F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$3,900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22D111B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$7,721</w:t>
            </w:r>
          </w:p>
        </w:tc>
      </w:tr>
      <w:tr w:rsidR="00E62CCF" w:rsidRPr="00E62CCF" w14:paraId="257EBEEA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947FDBB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5 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9DDC9C0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$4,573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C9183EB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$8,342</w:t>
            </w:r>
          </w:p>
        </w:tc>
      </w:tr>
      <w:tr w:rsidR="00E62CCF" w:rsidRPr="00E62CCF" w14:paraId="4320E5FF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A6EEA42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6 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C1D91E2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$5,245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57275DF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$8,958</w:t>
            </w:r>
          </w:p>
        </w:tc>
      </w:tr>
      <w:tr w:rsidR="00E62CCF" w:rsidRPr="00E62CCF" w14:paraId="517974F9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243662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7 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474A21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$5,918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1F3CFD9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$9,575</w:t>
            </w:r>
          </w:p>
        </w:tc>
      </w:tr>
      <w:tr w:rsidR="00E62CCF" w:rsidRPr="00E62CCF" w14:paraId="4F0E39CB" w14:textId="77777777" w:rsidTr="00E62CCF"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B8956B0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ECF7CCD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$6,590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8F3764D" w14:textId="77777777" w:rsidR="00E62CCF" w:rsidRPr="00E62CCF" w:rsidRDefault="00E62CCF" w:rsidP="00E62CCF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</w:pPr>
            <w:r w:rsidRPr="00E62CCF">
              <w:rPr>
                <w:rFonts w:ascii="Lato" w:eastAsia="Times New Roman" w:hAnsi="Lato" w:cs="Times New Roman"/>
                <w:color w:val="222223"/>
                <w:kern w:val="0"/>
                <w14:ligatures w14:val="none"/>
              </w:rPr>
              <w:t>$10,192</w:t>
            </w:r>
          </w:p>
        </w:tc>
      </w:tr>
    </w:tbl>
    <w:p w14:paraId="7F49AD7B" w14:textId="77777777" w:rsidR="00E62CCF" w:rsidRDefault="00E62CCF" w:rsidP="00E62CCF"/>
    <w:p w14:paraId="28EB6B80" w14:textId="77777777" w:rsidR="00E62CCF" w:rsidRPr="00E62CCF" w:rsidRDefault="00E62CCF" w:rsidP="00E62CCF">
      <w:pPr>
        <w:spacing w:after="0"/>
        <w:rPr>
          <w:b/>
          <w:bCs/>
        </w:rPr>
      </w:pPr>
      <w:r w:rsidRPr="00E62CCF">
        <w:rPr>
          <w:b/>
          <w:bCs/>
        </w:rPr>
        <w:t>Website:</w:t>
      </w:r>
    </w:p>
    <w:p w14:paraId="435413A0" w14:textId="593387BE" w:rsidR="00E62CCF" w:rsidRDefault="00E62CCF" w:rsidP="00E62CCF">
      <w:pPr>
        <w:spacing w:after="0"/>
      </w:pPr>
      <w:r>
        <w:t xml:space="preserve"> </w:t>
      </w:r>
      <w:hyperlink r:id="rId5" w:history="1">
        <w:r w:rsidRPr="00663C21">
          <w:rPr>
            <w:rStyle w:val="Hyperlink"/>
          </w:rPr>
          <w:t>https://www.piercecountywa.gov/1280/Energy-Assistance</w:t>
        </w:r>
      </w:hyperlink>
      <w:r>
        <w:t xml:space="preserve"> </w:t>
      </w:r>
    </w:p>
    <w:p w14:paraId="0568323B" w14:textId="77777777" w:rsidR="00E62CCF" w:rsidRDefault="00E62CCF" w:rsidP="00E62CCF">
      <w:pPr>
        <w:spacing w:after="0"/>
      </w:pPr>
    </w:p>
    <w:p w14:paraId="0C1C39D4" w14:textId="1097E61C" w:rsidR="00E62CCF" w:rsidRPr="00435527" w:rsidRDefault="00E62CCF" w:rsidP="00E62CCF">
      <w:pPr>
        <w:pBdr>
          <w:bottom w:val="single" w:sz="6" w:space="1" w:color="auto"/>
        </w:pBdr>
        <w:rPr>
          <w:lang w:val="fr-FR"/>
        </w:rPr>
      </w:pPr>
      <w:r w:rsidRPr="00435527">
        <w:rPr>
          <w:b/>
          <w:bCs/>
          <w:lang w:val="fr-FR"/>
        </w:rPr>
        <w:t xml:space="preserve">Online </w:t>
      </w:r>
      <w:proofErr w:type="gramStart"/>
      <w:r w:rsidRPr="00435527">
        <w:rPr>
          <w:b/>
          <w:bCs/>
          <w:lang w:val="fr-FR"/>
        </w:rPr>
        <w:t>Application:</w:t>
      </w:r>
      <w:proofErr w:type="gramEnd"/>
      <w:r w:rsidRPr="00435527">
        <w:rPr>
          <w:b/>
          <w:bCs/>
          <w:lang w:val="fr-FR"/>
        </w:rPr>
        <w:t xml:space="preserve"> </w:t>
      </w:r>
      <w:hyperlink r:id="rId6" w:history="1">
        <w:r w:rsidRPr="00435527">
          <w:rPr>
            <w:rStyle w:val="Hyperlink"/>
            <w:lang w:val="fr-FR"/>
          </w:rPr>
          <w:t>https://www.cognitoforms.com/PierceCounty2/_20242025EnergyAssistanceProgramApplication</w:t>
        </w:r>
      </w:hyperlink>
    </w:p>
    <w:p w14:paraId="3E2C8DE3" w14:textId="717C5E96" w:rsidR="00435527" w:rsidRDefault="00435527" w:rsidP="00E62CCF">
      <w:r w:rsidRPr="00435527">
        <w:rPr>
          <w:b/>
          <w:bCs/>
        </w:rPr>
        <w:t>Home Energy Lifeline Program (H</w:t>
      </w:r>
      <w:r>
        <w:rPr>
          <w:b/>
          <w:bCs/>
        </w:rPr>
        <w:t>ELP) – Puget Sound Energy</w:t>
      </w:r>
    </w:p>
    <w:p w14:paraId="07EF4715" w14:textId="72816D4F" w:rsidR="00435527" w:rsidRDefault="00435527" w:rsidP="00E62CCF">
      <w:r>
        <w:t>Hours: Monday – Friday 7:30am to 6:30pm</w:t>
      </w:r>
    </w:p>
    <w:p w14:paraId="44E5AFDE" w14:textId="0186A05D" w:rsidR="00435527" w:rsidRDefault="00435527" w:rsidP="00E62CCF">
      <w:r>
        <w:t xml:space="preserve">Website: </w:t>
      </w:r>
      <w:hyperlink r:id="rId7" w:history="1">
        <w:r w:rsidRPr="00663C21">
          <w:rPr>
            <w:rStyle w:val="Hyperlink"/>
          </w:rPr>
          <w:t>https://www.pse.com/account-and-billing/assistance-programs/HELP</w:t>
        </w:r>
      </w:hyperlink>
      <w:r>
        <w:t xml:space="preserve"> </w:t>
      </w:r>
    </w:p>
    <w:p w14:paraId="2B8796C4" w14:textId="48088183" w:rsidR="00435527" w:rsidRDefault="00435527" w:rsidP="00E62CCF">
      <w:r>
        <w:lastRenderedPageBreak/>
        <w:t>Phone: (888) 225-5773</w:t>
      </w:r>
    </w:p>
    <w:p w14:paraId="5ED6B175" w14:textId="0DCF739D" w:rsidR="00435527" w:rsidRDefault="00435527" w:rsidP="00E62CCF">
      <w:r>
        <w:t>TTY Phone: (800) 962-9498</w:t>
      </w:r>
    </w:p>
    <w:p w14:paraId="24B39001" w14:textId="2866F813" w:rsidR="00435527" w:rsidRPr="00435527" w:rsidRDefault="00435527" w:rsidP="00E62CCF">
      <w:r>
        <w:t>TRS Phone: (866) 831-5161</w:t>
      </w:r>
    </w:p>
    <w:p w14:paraId="7C8C3C02" w14:textId="6EB1E339" w:rsidR="00E62CCF" w:rsidRDefault="00435527" w:rsidP="00E62CCF">
      <w:pPr>
        <w:pBdr>
          <w:bottom w:val="single" w:sz="12" w:space="1" w:color="auto"/>
        </w:pBdr>
      </w:pPr>
      <w:r>
        <w:t xml:space="preserve">Emal: </w:t>
      </w:r>
      <w:hyperlink r:id="rId8" w:history="1">
        <w:r w:rsidRPr="00663C21">
          <w:rPr>
            <w:rStyle w:val="Hyperlink"/>
          </w:rPr>
          <w:t>customer.care@pse.com</w:t>
        </w:r>
      </w:hyperlink>
    </w:p>
    <w:p w14:paraId="2AA77660" w14:textId="352F1E32" w:rsidR="00435527" w:rsidRDefault="00435527" w:rsidP="00E62CCF">
      <w:r>
        <w:rPr>
          <w:b/>
          <w:bCs/>
        </w:rPr>
        <w:t>Other Resources:</w:t>
      </w:r>
    </w:p>
    <w:p w14:paraId="6315C480" w14:textId="7ABFA732" w:rsidR="00435527" w:rsidRDefault="00435527" w:rsidP="00E62CCF">
      <w:r>
        <w:t>The following organizations may have additional utilities assistance resources:</w:t>
      </w:r>
    </w:p>
    <w:p w14:paraId="74C0A469" w14:textId="7CCE102D" w:rsidR="00435527" w:rsidRDefault="00435527" w:rsidP="00E62CCF">
      <w:r w:rsidRPr="00435527">
        <w:drawing>
          <wp:inline distT="0" distB="0" distL="0" distR="0" wp14:anchorId="084F93A6" wp14:editId="7973DBB8">
            <wp:extent cx="5943600" cy="2176145"/>
            <wp:effectExtent l="0" t="0" r="0" b="0"/>
            <wp:docPr id="1243988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8809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BEFD4" w14:textId="77777777" w:rsidR="00435527" w:rsidRDefault="00435527" w:rsidP="00E62CCF"/>
    <w:p w14:paraId="39CD9C93" w14:textId="77777777" w:rsidR="00435527" w:rsidRPr="00435527" w:rsidRDefault="00435527" w:rsidP="00E62CCF"/>
    <w:sectPr w:rsidR="00435527" w:rsidRPr="0043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24BD"/>
    <w:multiLevelType w:val="multilevel"/>
    <w:tmpl w:val="3724F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565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CF"/>
    <w:rsid w:val="002A5FDC"/>
    <w:rsid w:val="00435527"/>
    <w:rsid w:val="006C1549"/>
    <w:rsid w:val="009F04DE"/>
    <w:rsid w:val="00E62CCF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6EFB"/>
  <w15:chartTrackingRefBased/>
  <w15:docId w15:val="{2BFCD20C-763E-4900-A122-2AADEBA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C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.care@p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e.com/account-and-billing/assistance-programs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nitoforms.com/PierceCounty2/_20242025EnergyAssistanceProgramAppl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iercecountywa.gov/1280/Energy-Assist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Nolan</dc:creator>
  <cp:keywords/>
  <dc:description/>
  <cp:lastModifiedBy>Megan Nolan</cp:lastModifiedBy>
  <cp:revision>2</cp:revision>
  <dcterms:created xsi:type="dcterms:W3CDTF">2025-04-30T21:04:00Z</dcterms:created>
  <dcterms:modified xsi:type="dcterms:W3CDTF">2025-04-30T21:35:00Z</dcterms:modified>
</cp:coreProperties>
</file>