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Arial" w:cs="Arial" w:eastAsia="Arial" w:hAnsi="Arial"/>
        </w:rPr>
      </w:pPr>
      <w:r w:rsidDel="00000000" w:rsidR="00000000" w:rsidRPr="00000000">
        <w:rPr>
          <w:rFonts w:ascii="Arial" w:cs="Arial" w:eastAsia="Arial" w:hAnsi="Arial"/>
          <w:b w:val="1"/>
          <w:sz w:val="28"/>
          <w:szCs w:val="28"/>
          <w:rtl w:val="0"/>
        </w:rPr>
        <w:t xml:space="preserve">GHKP </w:t>
      </w:r>
      <w:r w:rsidDel="00000000" w:rsidR="00000000" w:rsidRPr="00000000">
        <w:rPr>
          <w:rFonts w:ascii="Arial" w:cs="Arial" w:eastAsia="Arial" w:hAnsi="Arial"/>
          <w:b w:val="1"/>
          <w:sz w:val="28"/>
          <w:szCs w:val="28"/>
          <w:rtl w:val="0"/>
        </w:rPr>
        <w:t xml:space="preserve">Housing &amp; Homeless Coalition-  May 15, 2024 Meeting</w:t>
      </w:r>
      <w:r w:rsidDel="00000000" w:rsidR="00000000" w:rsidRPr="00000000">
        <w:rPr>
          <w:rFonts w:ascii="Arial" w:cs="Arial" w:eastAsia="Arial" w:hAnsi="Arial"/>
          <w:b w:val="1"/>
          <w:sz w:val="50"/>
          <w:szCs w:val="50"/>
          <w:rtl w:val="0"/>
        </w:rPr>
        <w:t xml:space="preserve"> </w:t>
      </w:r>
      <w:r w:rsidDel="00000000" w:rsidR="00000000" w:rsidRPr="00000000">
        <w:rPr>
          <w:rFonts w:ascii="Arial" w:cs="Arial" w:eastAsia="Arial" w:hAnsi="Arial"/>
          <w:b w:val="1"/>
          <w:sz w:val="28"/>
          <w:szCs w:val="28"/>
          <w:rtl w:val="0"/>
        </w:rPr>
        <w:t xml:space="preserve">Agenda </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Update  Valeri Almony</w:t>
        <w:tab/>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-KPCS </w:t>
      </w:r>
      <w:r w:rsidDel="00000000" w:rsidR="00000000" w:rsidRPr="00000000">
        <w:rPr>
          <w:rFonts w:ascii="Arial" w:cs="Arial" w:eastAsia="Arial" w:hAnsi="Arial"/>
          <w:rtl w:val="0"/>
        </w:rPr>
        <w:t xml:space="preserve">Outreach / Case Mgmt - Delci Whiten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-Family Resource Center -</w:t>
      </w:r>
      <w:r w:rsidDel="00000000" w:rsidR="00000000" w:rsidRPr="00000000">
        <w:rPr>
          <w:rFonts w:ascii="Arial" w:cs="Arial" w:eastAsia="Arial" w:hAnsi="Arial"/>
          <w:rtl w:val="0"/>
        </w:rPr>
        <w:t xml:space="preserve"> Kate Landon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6">
      <w:pPr>
        <w:spacing w:after="0" w:lineRule="auto"/>
        <w:rPr>
          <w:rFonts w:ascii="Arial" w:cs="Arial" w:eastAsia="Arial" w:hAnsi="Arial"/>
          <w:color w:val="1155cc"/>
          <w:sz w:val="24"/>
          <w:szCs w:val="24"/>
          <w:u w:val="single"/>
        </w:rPr>
      </w:pPr>
      <w:r w:rsidDel="00000000" w:rsidR="00000000" w:rsidRPr="00000000">
        <w:rPr>
          <w:rFonts w:ascii="Arial" w:cs="Arial" w:eastAsia="Arial" w:hAnsi="Arial"/>
          <w:b w:val="1"/>
          <w:color w:val="242424"/>
          <w:sz w:val="26"/>
          <w:szCs w:val="26"/>
          <w:u w:val="single"/>
          <w:rtl w:val="0"/>
        </w:rPr>
        <w:t xml:space="preserve">Presentation:</w:t>
      </w:r>
      <w:r w:rsidDel="00000000" w:rsidR="00000000" w:rsidRPr="00000000">
        <w:rPr>
          <w:rFonts w:ascii="Arial" w:cs="Arial" w:eastAsia="Arial" w:hAnsi="Arial"/>
          <w:b w:val="1"/>
          <w:color w:val="242424"/>
          <w:sz w:val="24"/>
          <w:szCs w:val="24"/>
          <w:u w:val="single"/>
          <w:rtl w:val="0"/>
        </w:rPr>
        <w:t xml:space="preserve">  </w:t>
      </w:r>
      <w:r w:rsidDel="00000000" w:rsidR="00000000" w:rsidRPr="00000000">
        <w:rPr>
          <w:rFonts w:ascii="Arial" w:cs="Arial" w:eastAsia="Arial" w:hAnsi="Arial"/>
          <w:color w:val="1155cc"/>
          <w:sz w:val="24"/>
          <w:szCs w:val="24"/>
          <w:u w:val="single"/>
          <w:rtl w:val="0"/>
        </w:rPr>
        <w:t xml:space="preserve"> Jake Nau, SVdP Homeless Outreach Manager and Advocate for Homeless Residents -  overview on SVdP programs and how communities can be more engaged in helping our homeless.</w:t>
      </w:r>
    </w:p>
    <w:p w:rsidR="00000000" w:rsidDel="00000000" w:rsidP="00000000" w:rsidRDefault="00000000" w:rsidRPr="00000000" w14:paraId="00000007">
      <w:pPr>
        <w:spacing w:after="0" w:lineRule="auto"/>
        <w:rPr>
          <w:rFonts w:ascii="Arial" w:cs="Arial" w:eastAsia="Arial" w:hAnsi="Arial"/>
          <w:color w:val="467886"/>
          <w:u w:val="single"/>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color w:val="0000ff"/>
          <w:u w:val="single"/>
        </w:rPr>
      </w:pPr>
      <w:r w:rsidDel="00000000" w:rsidR="00000000" w:rsidRPr="00000000">
        <w:rPr>
          <w:rtl w:val="0"/>
        </w:rPr>
      </w:r>
    </w:p>
    <w:tbl>
      <w:tblPr>
        <w:tblStyle w:val="Table1"/>
        <w:tblpPr w:leftFromText="180" w:rightFromText="180" w:topFromText="180" w:bottomFromText="180" w:vertAnchor="text" w:horzAnchor="text" w:tblpX="15" w:tblpY="0"/>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0"/>
        <w:tblGridChange w:id="0">
          <w:tblGrid>
            <w:gridCol w:w="8910"/>
          </w:tblGrid>
        </w:tblGridChange>
      </w:tblGrid>
      <w:tr>
        <w:trPr>
          <w:cantSplit w:val="0"/>
          <w:trHeight w:val="38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9">
            <w:pPr>
              <w:spacing w:after="0" w:lineRule="auto"/>
              <w:rPr>
                <w:rFonts w:ascii="Arial" w:cs="Arial" w:eastAsia="Arial" w:hAnsi="Arial"/>
                <w:b w:val="1"/>
                <w:color w:val="467886"/>
                <w:sz w:val="24"/>
                <w:szCs w:val="24"/>
                <w:u w:val="single"/>
              </w:rPr>
            </w:pPr>
            <w:r w:rsidDel="00000000" w:rsidR="00000000" w:rsidRPr="00000000">
              <w:rPr>
                <w:rFonts w:ascii="Arial" w:cs="Arial" w:eastAsia="Arial" w:hAnsi="Arial"/>
                <w:b w:val="1"/>
                <w:color w:val="467886"/>
                <w:sz w:val="24"/>
                <w:szCs w:val="24"/>
                <w:u w:val="single"/>
                <w:rtl w:val="0"/>
              </w:rPr>
              <w:t xml:space="preserve">GHKP Real Estate Market Snapshot - Inventory is doing what it always does in May–growing.  There are 136 active listings with nearly 50% already pending.   It is a Sellers Market under $1.3M and homes are moving fast.  Over $2M has shifted to more of a buyers market.</w:t>
            </w:r>
          </w:p>
          <w:tbl>
            <w:tblPr>
              <w:tblStyle w:val="Table2"/>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0"/>
              <w:tblGridChange w:id="0">
                <w:tblGrid>
                  <w:gridCol w:w="8850"/>
                </w:tblGrid>
              </w:tblGridChange>
            </w:tblGrid>
            <w:tr>
              <w:trPr>
                <w:cantSplit w:val="0"/>
                <w:trHeight w:val="384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A">
                  <w:pPr>
                    <w:spacing w:after="0" w:line="276" w:lineRule="auto"/>
                    <w:rPr>
                      <w:rFonts w:ascii="Arial" w:cs="Arial" w:eastAsia="Arial" w:hAnsi="Arial"/>
                      <w:color w:val="222222"/>
                      <w:sz w:val="21"/>
                      <w:szCs w:val="21"/>
                      <w:u w:val="single"/>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color w:val="222222"/>
                      <w:sz w:val="21"/>
                      <w:szCs w:val="21"/>
                      <w:u w:val="single"/>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color w:val="222222"/>
                      <w:sz w:val="21"/>
                      <w:szCs w:val="21"/>
                      <w:u w:val="single"/>
                    </w:rPr>
                  </w:pPr>
                  <w:r w:rsidDel="00000000" w:rsidR="00000000" w:rsidRPr="00000000">
                    <w:rPr>
                      <w:rFonts w:ascii="Arial" w:cs="Arial" w:eastAsia="Arial" w:hAnsi="Arial"/>
                      <w:color w:val="467886"/>
                      <w:sz w:val="24"/>
                      <w:szCs w:val="24"/>
                      <w:u w:val="single"/>
                      <w:rtl w:val="0"/>
                    </w:rPr>
                    <w:t xml:space="preserve">**</w:t>
                  </w:r>
                  <w:hyperlink r:id="rId6">
                    <w:r w:rsidDel="00000000" w:rsidR="00000000" w:rsidRPr="00000000">
                      <w:rPr>
                        <w:rFonts w:ascii="Roboto" w:cs="Roboto" w:eastAsia="Roboto" w:hAnsi="Roboto"/>
                        <w:b w:val="1"/>
                        <w:color w:val="4007a2"/>
                        <w:sz w:val="26"/>
                        <w:szCs w:val="26"/>
                        <w:highlight w:val="white"/>
                        <w:rtl w:val="0"/>
                      </w:rPr>
                      <w:t xml:space="preserve">HB 1217</w:t>
                    </w:r>
                  </w:hyperlink>
                  <w:hyperlink r:id="rId7">
                    <w:r w:rsidDel="00000000" w:rsidR="00000000" w:rsidRPr="00000000">
                      <w:rPr>
                        <w:rFonts w:ascii="Roboto" w:cs="Roboto" w:eastAsia="Roboto" w:hAnsi="Roboto"/>
                        <w:b w:val="1"/>
                        <w:color w:val="4007a2"/>
                        <w:sz w:val="24"/>
                        <w:szCs w:val="24"/>
                        <w:highlight w:val="white"/>
                        <w:rtl w:val="0"/>
                      </w:rPr>
                      <w:t xml:space="preserve">, the Housing Stability Act, was passed by the Washington state Legislature on April 27, 2025</w:t>
                    </w:r>
                  </w:hyperlink>
                  <w:hyperlink r:id="rId8">
                    <w:r w:rsidDel="00000000" w:rsidR="00000000" w:rsidRPr="00000000">
                      <w:rPr>
                        <w:rFonts w:ascii="Roboto" w:cs="Roboto" w:eastAsia="Roboto" w:hAnsi="Roboto"/>
                        <w:color w:val="123bb6"/>
                        <w:sz w:val="15"/>
                        <w:szCs w:val="15"/>
                        <w:shd w:fill="d1dbfa" w:val="clear"/>
                        <w:rtl w:val="0"/>
                      </w:rPr>
                      <w:t xml:space="preserve">1</w:t>
                    </w:r>
                  </w:hyperlink>
                  <w:r w:rsidDel="00000000" w:rsidR="00000000" w:rsidRPr="00000000">
                    <w:rPr>
                      <w:rFonts w:ascii="Roboto" w:cs="Roboto" w:eastAsia="Roboto" w:hAnsi="Roboto"/>
                      <w:color w:val="111111"/>
                      <w:sz w:val="24"/>
                      <w:szCs w:val="24"/>
                      <w:highlight w:val="white"/>
                      <w:u w:val="single"/>
                      <w:rtl w:val="0"/>
                    </w:rPr>
                    <w:t xml:space="preserve">. </w:t>
                  </w:r>
                  <w:hyperlink r:id="rId9">
                    <w:r w:rsidDel="00000000" w:rsidR="00000000" w:rsidRPr="00000000">
                      <w:rPr>
                        <w:rFonts w:ascii="Roboto" w:cs="Roboto" w:eastAsia="Roboto" w:hAnsi="Roboto"/>
                        <w:color w:val="4007a2"/>
                        <w:sz w:val="24"/>
                        <w:szCs w:val="24"/>
                        <w:highlight w:val="white"/>
                        <w:rtl w:val="0"/>
                      </w:rPr>
                      <w:t xml:space="preserve">It caps rent increases for most single-family and multi-family landlords and mandates specific notice requirements for rent increases that landlords must comply with to increase rents</w:t>
                    </w:r>
                  </w:hyperlink>
                  <w:hyperlink r:id="rId10">
                    <w:r w:rsidDel="00000000" w:rsidR="00000000" w:rsidRPr="00000000">
                      <w:rPr>
                        <w:rFonts w:ascii="Roboto" w:cs="Roboto" w:eastAsia="Roboto" w:hAnsi="Roboto"/>
                        <w:color w:val="123bb6"/>
                        <w:sz w:val="15"/>
                        <w:szCs w:val="15"/>
                        <w:shd w:fill="d1dbfa" w:val="clear"/>
                        <w:rtl w:val="0"/>
                      </w:rPr>
                      <w:t xml:space="preserve">1</w:t>
                    </w:r>
                  </w:hyperlink>
                  <w:hyperlink r:id="rId11">
                    <w:r w:rsidDel="00000000" w:rsidR="00000000" w:rsidRPr="00000000">
                      <w:rPr>
                        <w:rFonts w:ascii="Roboto" w:cs="Roboto" w:eastAsia="Roboto" w:hAnsi="Roboto"/>
                        <w:color w:val="123bb6"/>
                        <w:sz w:val="15"/>
                        <w:szCs w:val="15"/>
                        <w:shd w:fill="d1dbfa" w:val="clear"/>
                        <w:rtl w:val="0"/>
                      </w:rPr>
                      <w:t xml:space="preserve">3</w:t>
                    </w:r>
                  </w:hyperlink>
                  <w:r w:rsidDel="00000000" w:rsidR="00000000" w:rsidRPr="00000000">
                    <w:rPr>
                      <w:rFonts w:ascii="Roboto" w:cs="Roboto" w:eastAsia="Roboto" w:hAnsi="Roboto"/>
                      <w:color w:val="111111"/>
                      <w:sz w:val="24"/>
                      <w:szCs w:val="24"/>
                      <w:highlight w:val="white"/>
                      <w:u w:val="single"/>
                      <w:rtl w:val="0"/>
                    </w:rPr>
                    <w:t xml:space="preserve">. </w:t>
                  </w:r>
                  <w:hyperlink r:id="rId12">
                    <w:r w:rsidDel="00000000" w:rsidR="00000000" w:rsidRPr="00000000">
                      <w:rPr>
                        <w:rFonts w:ascii="Roboto" w:cs="Roboto" w:eastAsia="Roboto" w:hAnsi="Roboto"/>
                        <w:color w:val="4007a2"/>
                        <w:sz w:val="24"/>
                        <w:szCs w:val="24"/>
                        <w:highlight w:val="white"/>
                        <w:rtl w:val="0"/>
                      </w:rPr>
                      <w:t xml:space="preserve">The bill limits annual rent hikes for most tenants to 7% plus inflation, or 10%, whichever is lower</w:t>
                    </w:r>
                  </w:hyperlink>
                  <w:hyperlink r:id="rId13">
                    <w:r w:rsidDel="00000000" w:rsidR="00000000" w:rsidRPr="00000000">
                      <w:rPr>
                        <w:rFonts w:ascii="Roboto" w:cs="Roboto" w:eastAsia="Roboto" w:hAnsi="Roboto"/>
                        <w:color w:val="123bb6"/>
                        <w:sz w:val="15"/>
                        <w:szCs w:val="15"/>
                        <w:shd w:fill="d1dbfa" w:val="clear"/>
                        <w:rtl w:val="0"/>
                      </w:rPr>
                      <w:t xml:space="preserve">3</w:t>
                    </w:r>
                  </w:hyperlink>
                  <w:r w:rsidDel="00000000" w:rsidR="00000000" w:rsidRPr="00000000">
                    <w:rPr>
                      <w:rFonts w:ascii="Roboto" w:cs="Roboto" w:eastAsia="Roboto" w:hAnsi="Roboto"/>
                      <w:color w:val="111111"/>
                      <w:sz w:val="24"/>
                      <w:szCs w:val="24"/>
                      <w:highlight w:val="white"/>
                      <w:u w:val="single"/>
                      <w:rtl w:val="0"/>
                    </w:rPr>
                    <w:t xml:space="preserve">. </w:t>
                  </w:r>
                  <w:hyperlink r:id="rId14">
                    <w:r w:rsidDel="00000000" w:rsidR="00000000" w:rsidRPr="00000000">
                      <w:rPr>
                        <w:rFonts w:ascii="Roboto" w:cs="Roboto" w:eastAsia="Roboto" w:hAnsi="Roboto"/>
                        <w:color w:val="4007a2"/>
                        <w:sz w:val="24"/>
                        <w:szCs w:val="24"/>
                        <w:highlight w:val="white"/>
                        <w:rtl w:val="0"/>
                      </w:rPr>
                      <w:t xml:space="preserve">For mobile homeowners, rent increases would be capped at 5% each year</w:t>
                    </w:r>
                  </w:hyperlink>
                  <w:hyperlink r:id="rId15">
                    <w:r w:rsidDel="00000000" w:rsidR="00000000" w:rsidRPr="00000000">
                      <w:rPr>
                        <w:rFonts w:ascii="Roboto" w:cs="Roboto" w:eastAsia="Roboto" w:hAnsi="Roboto"/>
                        <w:color w:val="123bb6"/>
                        <w:sz w:val="15"/>
                        <w:szCs w:val="15"/>
                        <w:shd w:fill="d1dbfa" w:val="clear"/>
                        <w:rtl w:val="0"/>
                      </w:rPr>
                      <w:t xml:space="preserve">3</w:t>
                    </w:r>
                  </w:hyperlink>
                  <w:r w:rsidDel="00000000" w:rsidR="00000000" w:rsidRPr="00000000">
                    <w:rPr>
                      <w:rFonts w:ascii="Roboto" w:cs="Roboto" w:eastAsia="Roboto" w:hAnsi="Roboto"/>
                      <w:color w:val="111111"/>
                      <w:sz w:val="24"/>
                      <w:szCs w:val="24"/>
                      <w:highlight w:val="white"/>
                      <w:u w:val="single"/>
                      <w:rtl w:val="0"/>
                    </w:rPr>
                    <w:t xml:space="preserve">. </w:t>
                  </w:r>
                  <w:hyperlink r:id="rId16">
                    <w:r w:rsidDel="00000000" w:rsidR="00000000" w:rsidRPr="00000000">
                      <w:rPr>
                        <w:rFonts w:ascii="Roboto" w:cs="Roboto" w:eastAsia="Roboto" w:hAnsi="Roboto"/>
                        <w:color w:val="4007a2"/>
                        <w:sz w:val="24"/>
                        <w:szCs w:val="24"/>
                        <w:highlight w:val="white"/>
                        <w:rtl w:val="0"/>
                      </w:rPr>
                      <w:t xml:space="preserve">The bill passed the Senate Floor Vote on April 10th, the Conference on April 27th, and the House on April 27th</w:t>
                    </w:r>
                  </w:hyperlink>
                  <w:hyperlink r:id="rId17">
                    <w:r w:rsidDel="00000000" w:rsidR="00000000" w:rsidRPr="00000000">
                      <w:rPr>
                        <w:rFonts w:ascii="Roboto" w:cs="Roboto" w:eastAsia="Roboto" w:hAnsi="Roboto"/>
                        <w:color w:val="123bb6"/>
                        <w:sz w:val="15"/>
                        <w:szCs w:val="15"/>
                        <w:shd w:fill="d1dbfa" w:val="clear"/>
                        <w:rtl w:val="0"/>
                      </w:rPr>
                      <w:t xml:space="preserve">4</w:t>
                    </w:r>
                  </w:hyperlink>
                  <w:r w:rsidDel="00000000" w:rsidR="00000000" w:rsidRPr="00000000">
                    <w:rPr>
                      <w:rFonts w:ascii="Roboto" w:cs="Roboto" w:eastAsia="Roboto" w:hAnsi="Roboto"/>
                      <w:color w:val="111111"/>
                      <w:sz w:val="24"/>
                      <w:szCs w:val="24"/>
                      <w:highlight w:val="white"/>
                      <w:u w:val="single"/>
                      <w:rtl w:val="0"/>
                    </w:rPr>
                    <w:t xml:space="preserve">.</w:t>
                  </w:r>
                  <w:r w:rsidDel="00000000" w:rsidR="00000000" w:rsidRPr="00000000">
                    <w:rPr>
                      <w:rtl w:val="0"/>
                    </w:rPr>
                  </w:r>
                </w:p>
              </w:tc>
            </w:tr>
          </w:tbl>
          <w:p w:rsidR="00000000" w:rsidDel="00000000" w:rsidP="00000000" w:rsidRDefault="00000000" w:rsidRPr="00000000" w14:paraId="0000000D">
            <w:pPr>
              <w:spacing w:after="0" w:lineRule="auto"/>
              <w:rPr>
                <w:rFonts w:ascii="Arial" w:cs="Arial" w:eastAsia="Arial" w:hAnsi="Arial"/>
                <w:color w:val="467886"/>
                <w:sz w:val="20"/>
                <w:szCs w:val="20"/>
                <w:u w:val="single"/>
              </w:rPr>
            </w:pPr>
            <w:r w:rsidDel="00000000" w:rsidR="00000000" w:rsidRPr="00000000">
              <w:rPr>
                <w:rtl w:val="0"/>
              </w:rPr>
            </w:r>
          </w:p>
        </w:tc>
      </w:tr>
    </w:tbl>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How to File for Property Tax Exemptions: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(provided by Adria Johnston / PC Foreclosure Avoidance Coordinator</w:t>
      </w:r>
    </w:p>
    <w:p w:rsidR="00000000" w:rsidDel="00000000" w:rsidP="00000000" w:rsidRDefault="00000000" w:rsidRPr="00000000" w14:paraId="00000010">
      <w:pPr>
        <w:spacing w:after="0" w:lineRule="auto"/>
        <w:rPr>
          <w:rFonts w:ascii="Arial" w:cs="Arial" w:eastAsia="Arial" w:hAnsi="Arial"/>
        </w:rPr>
      </w:pPr>
      <w:r w:rsidDel="00000000" w:rsidR="00000000" w:rsidRPr="00000000">
        <w:rPr>
          <w:rFonts w:ascii="Arial" w:cs="Arial" w:eastAsia="Arial" w:hAnsi="Arial"/>
          <w:rtl w:val="0"/>
        </w:rPr>
        <w:t xml:space="preserve">For those seniors and those with disabilities, when it comes to the property taxes, make sure they are looking into the Exemption program.</w:t>
      </w:r>
    </w:p>
    <w:p w:rsidR="00000000" w:rsidDel="00000000" w:rsidP="00000000" w:rsidRDefault="00000000" w:rsidRPr="00000000" w14:paraId="00000011">
      <w:pPr>
        <w:spacing w:after="0" w:lineRule="auto"/>
        <w:rPr>
          <w:rFonts w:ascii="Roboto" w:cs="Roboto" w:eastAsia="Roboto" w:hAnsi="Roboto"/>
          <w:color w:val="111111"/>
          <w:sz w:val="24"/>
          <w:szCs w:val="24"/>
          <w:highlight w:val="white"/>
          <w:u w:val="single"/>
        </w:rPr>
      </w:pPr>
      <w:hyperlink r:id="rId18">
        <w:r w:rsidDel="00000000" w:rsidR="00000000" w:rsidRPr="00000000">
          <w:rPr>
            <w:rFonts w:ascii="Arial" w:cs="Arial" w:eastAsia="Arial" w:hAnsi="Arial"/>
            <w:color w:val="467886"/>
            <w:u w:val="single"/>
            <w:rtl w:val="0"/>
          </w:rPr>
          <w:t xml:space="preserve">Senior Citizens Or People with Disabilities | Pierce County, WA - Official Website</w:t>
        </w:r>
      </w:hyperlink>
      <w:r w:rsidDel="00000000" w:rsidR="00000000" w:rsidRPr="00000000">
        <w:rPr>
          <w:rtl w:val="0"/>
        </w:rPr>
      </w:r>
    </w:p>
    <w:p w:rsidR="00000000" w:rsidDel="00000000" w:rsidP="00000000" w:rsidRDefault="00000000" w:rsidRPr="00000000" w14:paraId="00000012">
      <w:pP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 </w:t>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**Pierce County Begins Development of Five-year Homeless Housing Plan</w:t>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*RESOLUTION NO. R2024-253</w:t>
      </w:r>
    </w:p>
    <w:p w:rsidR="00000000" w:rsidDel="00000000" w:rsidP="00000000" w:rsidRDefault="00000000" w:rsidRPr="00000000" w14:paraId="0000001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Pierce County Council adopted </w:t>
      </w:r>
      <w:hyperlink r:id="rId19">
        <w:r w:rsidDel="00000000" w:rsidR="00000000" w:rsidRPr="00000000">
          <w:rPr>
            <w:rFonts w:ascii="Arial" w:cs="Arial" w:eastAsia="Arial" w:hAnsi="Arial"/>
            <w:b w:val="1"/>
            <w:color w:val="3c61aa"/>
            <w:sz w:val="20"/>
            <w:szCs w:val="20"/>
            <w:u w:val="single"/>
            <w:rtl w:val="0"/>
          </w:rPr>
          <w:t xml:space="preserve">Resolution No. R2024-253</w:t>
        </w:r>
      </w:hyperlink>
      <w:r w:rsidDel="00000000" w:rsidR="00000000" w:rsidRPr="00000000">
        <w:rPr>
          <w:rFonts w:ascii="Arial" w:cs="Arial" w:eastAsia="Arial" w:hAnsi="Arial"/>
          <w:b w:val="1"/>
          <w:sz w:val="20"/>
          <w:szCs w:val="20"/>
          <w:rtl w:val="0"/>
        </w:rPr>
        <w:t xml:space="preserve">, approving the 2024 Affordable Rental Housing NOFA funding recommendations and associated expenditures, on Tuesday, Feb. 11. As a result, Pierce County Human Services announced over $17 million in Maureen Howard Affordable Housing Sales Tax awards to support affordable housing initiatives countywide. These investments will help create, preserve, and maintain over 330 affordable housing units in Pierce County.</w:t>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Washington State House of Representatives Office of Program Research BILL ANALYSIS Housing Committee HB 1217 Brief Description:</w:t>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Improving housing stability for tenants subject to the residential landlord 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w:t>
      </w:r>
    </w:p>
    <w:p w:rsidR="00000000" w:rsidDel="00000000" w:rsidP="00000000" w:rsidRDefault="00000000" w:rsidRPr="00000000" w14:paraId="000000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Sponsors: Representatives Alvarado, Macri, Ramel, Peterson, Berry, Mena, Thai, Reed, Obras, Farivar, Parshley, Ortiz-Self, Cortes, Duerr, Street, Berg, Taylor, Fitzgibbon, Doglio, Timmons, Tharinger, Fosse, Gregerson, Simmons, Wylie, Pollet, Kloba, Nance, Davis, Ormsby, Lekanoff, Bergquist, Scott, Stonier and Hill. Brief Summary of Bill • • • • </w:t>
      </w:r>
    </w:p>
    <w:p w:rsidR="00000000" w:rsidDel="00000000" w:rsidP="00000000" w:rsidRDefault="00000000" w:rsidRPr="00000000" w14:paraId="000000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Limits rent and fee increases to 7 percent during any 12-month period and prohibits rent and fee increases during the first 12 months of a tenancy for tenants subject to the Residential Landlord-Tenant Act and the Manufactured/Mobile Home Landlord-Tenant Act, regardless of the length or type of lease, with certain exemptions. </w:t>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Provides certain other protections for tenants, such as rent and fee increase notice requirements; tenant lease termination provisions; and limits on move-in fees, security deposits, and late fees. Provides remedies and enforcement mechanisms for violations of the bill, including Attorney General enforcement under the Consumer Protection Act and a private cause of action for damages.</w:t>
      </w:r>
    </w:p>
    <w:p w:rsidR="00000000" w:rsidDel="00000000" w:rsidP="00000000" w:rsidRDefault="00000000" w:rsidRPr="00000000" w14:paraId="0000001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Requires the Department of Commerce to create an online landlord resource center and to contract with an independent third party to carry out a social vulnerability assessment of the impacts of rent stabilization. •</w:t>
      </w:r>
    </w:p>
    <w:p w:rsidR="00000000" w:rsidDel="00000000" w:rsidP="00000000" w:rsidRDefault="00000000" w:rsidRPr="00000000" w14:paraId="00000020">
      <w:pPr>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 Requires the Attorney General to publish model lease provisions This analysis was prepared by non-partisan legislative staff for the use of legislative members in their deliberations. This analysis is not part of the legislation nor does it constitute a statement of legislative intent.- 1 HB 1217 House Bill Analysis</w:t>
        <w:tab/>
      </w:r>
      <w:r w:rsidDel="00000000" w:rsidR="00000000" w:rsidRPr="00000000">
        <w:rPr>
          <w:rtl w:val="0"/>
        </w:rPr>
      </w:r>
    </w:p>
    <w:tbl>
      <w:tblPr>
        <w:tblStyle w:val="Table3"/>
        <w:tblW w:w="8620.07871048827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20.078710488278"/>
        <w:tblGridChange w:id="0">
          <w:tblGrid>
            <w:gridCol w:w="8620.078710488278"/>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Arial" w:cs="Arial" w:eastAsia="Arial" w:hAnsi="Arial"/>
                <w:b w:val="1"/>
                <w:color w:val="333333"/>
              </w:rPr>
            </w:pPr>
            <w:r w:rsidDel="00000000" w:rsidR="00000000" w:rsidRPr="00000000">
              <w:rPr>
                <w:rFonts w:ascii="Arial" w:cs="Arial" w:eastAsia="Arial" w:hAnsi="Arial"/>
                <w:b w:val="1"/>
                <w:color w:val="333333"/>
                <w:rtl w:val="0"/>
              </w:rPr>
              <w:t xml:space="preserve">***</w:t>
            </w:r>
            <w:r w:rsidDel="00000000" w:rsidR="00000000" w:rsidRPr="00000000">
              <w:rPr>
                <w:rFonts w:ascii="Arial" w:cs="Arial" w:eastAsia="Arial" w:hAnsi="Arial"/>
                <w:b w:val="1"/>
                <w:color w:val="333333"/>
                <w:sz w:val="24"/>
                <w:szCs w:val="24"/>
                <w:rtl w:val="0"/>
              </w:rPr>
              <w:t xml:space="preserve">PC Continuum of Care -</w:t>
            </w:r>
            <w:r w:rsidDel="00000000" w:rsidR="00000000" w:rsidRPr="00000000">
              <w:rPr>
                <w:rFonts w:ascii="Arial" w:cs="Arial" w:eastAsia="Arial" w:hAnsi="Arial"/>
                <w:b w:val="1"/>
                <w:color w:val="333333"/>
                <w:rtl w:val="0"/>
              </w:rPr>
              <w:t xml:space="preserve">  For all who are passionate about ending homelessness, please join the Continuum of Care as a “Member” or “a Board Member”</w:t>
            </w:r>
          </w:p>
          <w:p w:rsidR="00000000" w:rsidDel="00000000" w:rsidP="00000000" w:rsidRDefault="00000000" w:rsidRPr="00000000" w14:paraId="00000022">
            <w:pPr>
              <w:shd w:fill="ffffff" w:val="clear"/>
              <w:spacing w:line="345" w:lineRule="auto"/>
              <w:rPr>
                <w:rFonts w:ascii="Arial" w:cs="Arial" w:eastAsia="Arial" w:hAnsi="Arial"/>
                <w:b w:val="1"/>
                <w:color w:val="231f20"/>
                <w:sz w:val="24"/>
                <w:szCs w:val="24"/>
              </w:rPr>
            </w:pPr>
            <w:hyperlink r:id="rId20">
              <w:r w:rsidDel="00000000" w:rsidR="00000000" w:rsidRPr="00000000">
                <w:rPr>
                  <w:rFonts w:ascii="Arial" w:cs="Arial" w:eastAsia="Arial" w:hAnsi="Arial"/>
                  <w:b w:val="1"/>
                  <w:color w:val="3c61aa"/>
                  <w:u w:val="single"/>
                  <w:rtl w:val="0"/>
                </w:rPr>
                <w:t xml:space="preserve">https://www.piercecountywa.gov/FormCenter/Human-Services-18/The-Road-Home-Membership-Candidate-Appli-566</w:t>
              </w:r>
            </w:hyperlink>
            <w:r w:rsidDel="00000000" w:rsidR="00000000" w:rsidRPr="00000000">
              <w:rPr>
                <w:rFonts w:ascii="Arial" w:cs="Arial" w:eastAsia="Arial" w:hAnsi="Arial"/>
                <w:b w:val="1"/>
                <w:color w:val="333333"/>
                <w:rtl w:val="0"/>
              </w:rPr>
              <w:t xml:space="preserve"> .</w:t>
            </w:r>
            <w:r w:rsidDel="00000000" w:rsidR="00000000" w:rsidRPr="00000000">
              <w:rPr>
                <w:rFonts w:ascii="Arial" w:cs="Arial" w:eastAsia="Arial" w:hAnsi="Arial"/>
                <w:b w:val="1"/>
                <w:color w:val="231f20"/>
                <w:sz w:val="24"/>
                <w:szCs w:val="24"/>
                <w:rtl w:val="0"/>
              </w:rPr>
              <w:t xml:space="preserve">—--------------------------------------------------------------------------------------------</w:t>
            </w:r>
          </w:p>
          <w:p w:rsidR="00000000" w:rsidDel="00000000" w:rsidP="00000000" w:rsidRDefault="00000000" w:rsidRPr="00000000" w14:paraId="00000023">
            <w:pPr>
              <w:shd w:fill="ffffff" w:val="clear"/>
              <w:spacing w:line="345" w:lineRule="auto"/>
              <w:rPr>
                <w:rFonts w:ascii="Arial" w:cs="Arial" w:eastAsia="Arial" w:hAnsi="Arial"/>
                <w:b w:val="1"/>
                <w:color w:val="231f20"/>
                <w:sz w:val="24"/>
                <w:szCs w:val="24"/>
              </w:rPr>
            </w:pPr>
            <w:r w:rsidDel="00000000" w:rsidR="00000000" w:rsidRPr="00000000">
              <w:rPr>
                <w:rFonts w:ascii="Arial" w:cs="Arial" w:eastAsia="Arial" w:hAnsi="Arial"/>
                <w:b w:val="1"/>
                <w:color w:val="231f20"/>
                <w:sz w:val="24"/>
                <w:szCs w:val="24"/>
                <w:rtl w:val="0"/>
              </w:rPr>
              <w:t xml:space="preserve">Other Legislative Actions:</w:t>
            </w:r>
          </w:p>
          <w:p w:rsidR="00000000" w:rsidDel="00000000" w:rsidP="00000000" w:rsidRDefault="00000000" w:rsidRPr="00000000" w14:paraId="00000024">
            <w:pPr>
              <w:spacing w:after="0" w:line="360" w:lineRule="auto"/>
              <w:rPr>
                <w:rFonts w:ascii="Arial" w:cs="Arial" w:eastAsia="Arial" w:hAnsi="Arial"/>
                <w:b w:val="1"/>
              </w:rPr>
            </w:pPr>
            <w:r w:rsidDel="00000000" w:rsidR="00000000" w:rsidRPr="00000000">
              <w:rPr>
                <w:rFonts w:ascii="Arial" w:cs="Arial" w:eastAsia="Arial" w:hAnsi="Arial"/>
                <w:b w:val="1"/>
                <w:rtl w:val="0"/>
              </w:rPr>
              <w:t xml:space="preserve">Here is a quick overview of where each budget landed on key housing and homelessness priorities. We will provide a thorough overview at our </w:t>
            </w:r>
          </w:p>
          <w:p w:rsidR="00000000" w:rsidDel="00000000" w:rsidP="00000000" w:rsidRDefault="00000000" w:rsidRPr="00000000" w14:paraId="00000025">
            <w:pPr>
              <w:numPr>
                <w:ilvl w:val="0"/>
                <w:numId w:val="3"/>
              </w:numPr>
              <w:spacing w:after="0" w:afterAutospacing="0" w:before="24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Preventing Cuts to Homeless Services </w:t>
              <w:br w:type="textWrapping"/>
              <w:t xml:space="preserve">The House provides $40 million more than the Senate to backfill homeless programs normally funded by document recording fee revenue.  </w:t>
              <w:br w:type="textWrapping"/>
              <w:t xml:space="preserve"> </w:t>
            </w:r>
          </w:p>
          <w:p w:rsidR="00000000" w:rsidDel="00000000" w:rsidP="00000000" w:rsidRDefault="00000000" w:rsidRPr="00000000" w14:paraId="00000026">
            <w:pPr>
              <w:numPr>
                <w:ilvl w:val="0"/>
                <w:numId w:val="3"/>
              </w:numPr>
              <w:spacing w:after="0" w:afterAutospacing="0" w:before="0" w:beforeAutospacing="0" w:line="276" w:lineRule="auto"/>
              <w:ind w:left="1080" w:hanging="360"/>
              <w:rPr>
                <w:sz w:val="22"/>
                <w:szCs w:val="22"/>
              </w:rPr>
            </w:pPr>
            <w:r w:rsidDel="00000000" w:rsidR="00000000" w:rsidRPr="00000000">
              <w:rPr>
                <w:rFonts w:ascii="Verdana" w:cs="Verdana" w:eastAsia="Verdana" w:hAnsi="Verdana"/>
                <w:b w:val="1"/>
                <w:sz w:val="20"/>
                <w:szCs w:val="20"/>
                <w:rtl w:val="0"/>
              </w:rPr>
              <w:t xml:space="preserve">Right to Counsel Eviction Prevention  </w:t>
              <w:br w:type="textWrapping"/>
              <w:t xml:space="preserve">The House provides more funding than the Senate but is still over $2 million short of the funds needed to serve the </w:t>
            </w:r>
          </w:p>
          <w:p w:rsidR="00000000" w:rsidDel="00000000" w:rsidP="00000000" w:rsidRDefault="00000000" w:rsidRPr="00000000" w14:paraId="00000027">
            <w:pPr>
              <w:numPr>
                <w:ilvl w:val="0"/>
                <w:numId w:val="3"/>
              </w:numPr>
              <w:spacing w:after="0" w:afterAutospacing="0" w:before="0" w:beforeAutospacing="0" w:line="276" w:lineRule="auto"/>
              <w:ind w:left="1080" w:hanging="360"/>
            </w:pPr>
            <w:r w:rsidDel="00000000" w:rsidR="00000000" w:rsidRPr="00000000">
              <w:rPr>
                <w:rFonts w:ascii="Verdana" w:cs="Verdana" w:eastAsia="Verdana" w:hAnsi="Verdana"/>
                <w:b w:val="1"/>
                <w:sz w:val="20"/>
                <w:szCs w:val="20"/>
                <w:rtl w:val="0"/>
              </w:rPr>
              <w:t xml:space="preserve">many people facing evictions across the </w:t>
            </w:r>
            <w:r w:rsidDel="00000000" w:rsidR="00000000" w:rsidRPr="00000000">
              <w:rPr>
                <w:rFonts w:ascii="Verdana" w:cs="Verdana" w:eastAsia="Verdana" w:hAnsi="Verdana"/>
                <w:b w:val="1"/>
                <w:rtl w:val="0"/>
              </w:rPr>
              <w:t xml:space="preserve">state.  </w:t>
              <w:br w:type="textWrapping"/>
              <w:t xml:space="preserve"> </w:t>
            </w:r>
          </w:p>
          <w:p w:rsidR="00000000" w:rsidDel="00000000" w:rsidP="00000000" w:rsidRDefault="00000000" w:rsidRPr="00000000" w14:paraId="00000028">
            <w:pPr>
              <w:numPr>
                <w:ilvl w:val="0"/>
                <w:numId w:val="3"/>
              </w:numPr>
              <w:spacing w:after="0" w:afterAutospacing="0" w:before="0" w:beforeAutospacing="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Housing and Essential Needs </w:t>
              <w:br w:type="textWrapping"/>
              <w:t xml:space="preserve">Both budgets fully fund this program. </w:t>
              <w:br w:type="textWrapping"/>
              <w:t xml:space="preserve"> </w:t>
            </w:r>
          </w:p>
          <w:p w:rsidR="00000000" w:rsidDel="00000000" w:rsidP="00000000" w:rsidRDefault="00000000" w:rsidRPr="00000000" w14:paraId="00000029">
            <w:pPr>
              <w:numPr>
                <w:ilvl w:val="0"/>
                <w:numId w:val="3"/>
              </w:numPr>
              <w:spacing w:after="0" w:afterAutospacing="0" w:before="0" w:beforeAutospacing="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Aged, Blind, and Disabled Cash Assistance  </w:t>
              <w:br w:type="textWrapping"/>
              <w:t xml:space="preserve">The House budget delays implementation of a bill passed two years ago that will end the practice of the state taking the cost of the ABD cash benefit out of people’s Supplemental Security Income (SSI) payments. This isn’t technically a cut, since the bill wasn’t set to into effect until this fall, but it is something that will impact low-income, disabled people.  </w:t>
            </w:r>
          </w:p>
          <w:p w:rsidR="00000000" w:rsidDel="00000000" w:rsidP="00000000" w:rsidRDefault="00000000" w:rsidRPr="00000000" w14:paraId="0000002A">
            <w:pPr>
              <w:numPr>
                <w:ilvl w:val="0"/>
                <w:numId w:val="3"/>
              </w:numPr>
              <w:spacing w:after="0" w:afterAutospacing="0" w:before="0" w:beforeAutospacing="0" w:line="276" w:lineRule="auto"/>
              <w:ind w:left="1080" w:hanging="360"/>
              <w:rPr>
                <w:sz w:val="20"/>
                <w:szCs w:val="20"/>
              </w:rPr>
            </w:pPr>
            <w:r w:rsidDel="00000000" w:rsidR="00000000" w:rsidRPr="00000000">
              <w:rPr>
                <w:rtl w:val="0"/>
              </w:rPr>
            </w:r>
          </w:p>
          <w:p w:rsidR="00000000" w:rsidDel="00000000" w:rsidP="00000000" w:rsidRDefault="00000000" w:rsidRPr="00000000" w14:paraId="0000002B">
            <w:pPr>
              <w:numPr>
                <w:ilvl w:val="0"/>
                <w:numId w:val="3"/>
              </w:numPr>
              <w:spacing w:after="360" w:before="0" w:beforeAutospacing="0" w:line="276" w:lineRule="auto"/>
              <w:ind w:left="1080" w:hanging="360"/>
              <w:rPr>
                <w:sz w:val="20"/>
                <w:szCs w:val="20"/>
              </w:rPr>
            </w:pPr>
            <w:r w:rsidDel="00000000" w:rsidR="00000000" w:rsidRPr="00000000">
              <w:rPr>
                <w:rFonts w:ascii="Verdana" w:cs="Verdana" w:eastAsia="Verdana" w:hAnsi="Verdana"/>
                <w:b w:val="1"/>
                <w:sz w:val="20"/>
                <w:szCs w:val="20"/>
                <w:rtl w:val="0"/>
              </w:rPr>
              <w:t xml:space="preserve"> Apple Health and Homes </w:t>
              <w:br w:type="textWrapping"/>
              <w:t xml:space="preserve">The House budget sweeps $15 million in unspent funds from the Apple Health and Homes Program. </w:t>
            </w:r>
            <w:r w:rsidDel="00000000" w:rsidR="00000000" w:rsidRPr="00000000">
              <w:rPr>
                <w:rtl w:val="0"/>
              </w:rPr>
            </w:r>
          </w:p>
        </w:tc>
      </w:tr>
    </w:tbl>
    <w:p w:rsidR="00000000" w:rsidDel="00000000" w:rsidP="00000000" w:rsidRDefault="00000000" w:rsidRPr="00000000" w14:paraId="0000002C">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D">
      <w:pPr>
        <w:rPr>
          <w:rFonts w:ascii="Arial" w:cs="Arial" w:eastAsia="Arial" w:hAnsi="Arial"/>
          <w:b w:val="1"/>
          <w:color w:val="747474"/>
          <w:sz w:val="24"/>
          <w:szCs w:val="24"/>
        </w:rPr>
      </w:pPr>
      <w:r w:rsidDel="00000000" w:rsidR="00000000" w:rsidRPr="00000000">
        <w:rPr>
          <w:rFonts w:ascii="Arial" w:cs="Arial" w:eastAsia="Arial" w:hAnsi="Arial"/>
          <w:b w:val="1"/>
          <w:rtl w:val="0"/>
        </w:rPr>
        <w:t xml:space="preserve">*  AA/NA Services  -</w:t>
      </w:r>
      <w:r w:rsidDel="00000000" w:rsidR="00000000" w:rsidRPr="00000000">
        <w:rPr>
          <w:rFonts w:ascii="Arial" w:cs="Arial" w:eastAsia="Arial" w:hAnsi="Arial"/>
          <w:b w:val="1"/>
          <w:sz w:val="24"/>
          <w:szCs w:val="24"/>
          <w:rtl w:val="0"/>
        </w:rPr>
        <w:t xml:space="preserve">  </w:t>
      </w:r>
      <w:hyperlink r:id="rId21">
        <w:r w:rsidDel="00000000" w:rsidR="00000000" w:rsidRPr="00000000">
          <w:rPr>
            <w:rFonts w:ascii="Arial" w:cs="Arial" w:eastAsia="Arial" w:hAnsi="Arial"/>
            <w:b w:val="1"/>
            <w:color w:val="467886"/>
            <w:u w:val="single"/>
            <w:rtl w:val="0"/>
          </w:rPr>
          <w:t xml:space="preserve">https://www.pugetsoundaa.org/find-a-meeting</w:t>
        </w:r>
      </w:hyperlink>
      <w:r w:rsidDel="00000000" w:rsidR="00000000" w:rsidRPr="00000000">
        <w:rPr>
          <w:rFonts w:ascii="Arial" w:cs="Arial" w:eastAsia="Arial" w:hAnsi="Arial"/>
          <w:b w:val="1"/>
          <w:color w:val="0f4761"/>
          <w:rtl w:val="0"/>
        </w:rPr>
        <w:t xml:space="preserve"> for local meetings.</w:t>
      </w:r>
      <w:r w:rsidDel="00000000" w:rsidR="00000000" w:rsidRPr="00000000">
        <w:rPr>
          <w:rtl w:val="0"/>
        </w:rPr>
      </w:r>
    </w:p>
    <w:p w:rsidR="00000000" w:rsidDel="00000000" w:rsidP="00000000" w:rsidRDefault="00000000" w:rsidRPr="00000000" w14:paraId="0000002E">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F">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30">
      <w:pPr>
        <w:shd w:fill="ffffff" w:val="clear"/>
        <w:spacing w:after="0" w:line="240" w:lineRule="auto"/>
        <w:ind w:right="960"/>
        <w:rPr>
          <w:b w:val="1"/>
          <w:color w:val="747474"/>
        </w:rPr>
      </w:pPr>
      <w:r w:rsidDel="00000000" w:rsidR="00000000" w:rsidRPr="00000000">
        <w:rPr>
          <w:rFonts w:ascii="Arial" w:cs="Arial" w:eastAsia="Arial" w:hAnsi="Arial"/>
          <w:b w:val="1"/>
          <w:color w:val="747474"/>
          <w:sz w:val="30"/>
          <w:szCs w:val="30"/>
          <w:rtl w:val="0"/>
        </w:rPr>
        <w:t xml:space="preserve">TPCHD - </w:t>
      </w:r>
      <w:r w:rsidDel="00000000" w:rsidR="00000000" w:rsidRPr="00000000">
        <w:rPr>
          <w:rFonts w:ascii="Arial" w:cs="Arial" w:eastAsia="Arial" w:hAnsi="Arial"/>
          <w:b w:val="1"/>
          <w:color w:val="747474"/>
          <w:sz w:val="24"/>
          <w:szCs w:val="24"/>
          <w:rtl w:val="0"/>
        </w:rPr>
        <w:t xml:space="preserve">  FREE WATER TESTING FOR WATER WELL OWNERS.</w:t>
      </w:r>
      <w:r w:rsidDel="00000000" w:rsidR="00000000" w:rsidRPr="00000000">
        <w:rPr>
          <w:rtl w:val="0"/>
        </w:rPr>
      </w:r>
    </w:p>
    <w:p w:rsidR="00000000" w:rsidDel="00000000" w:rsidP="00000000" w:rsidRDefault="00000000" w:rsidRPr="00000000" w14:paraId="00000031">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32">
      <w:pPr>
        <w:shd w:fill="ffffff" w:val="clear"/>
        <w:spacing w:after="0" w:line="240" w:lineRule="auto"/>
        <w:ind w:left="0" w:right="960" w:firstLine="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33">
      <w:pPr>
        <w:shd w:fill="ffffff" w:val="clear"/>
        <w:spacing w:after="0" w:line="240" w:lineRule="auto"/>
        <w:ind w:left="0" w:right="960" w:firstLine="0"/>
        <w:rPr>
          <w:rFonts w:ascii="Arial" w:cs="Arial" w:eastAsia="Arial" w:hAnsi="Arial"/>
          <w:b w:val="1"/>
          <w:color w:val="6c7778"/>
          <w:sz w:val="18"/>
          <w:szCs w:val="18"/>
        </w:rPr>
      </w:pPr>
      <w:r w:rsidDel="00000000" w:rsidR="00000000" w:rsidRPr="00000000">
        <w:rPr>
          <w:b w:val="1"/>
          <w:color w:val="2f5496"/>
          <w:sz w:val="28"/>
          <w:szCs w:val="28"/>
          <w:rtl w:val="0"/>
        </w:rPr>
        <w:t xml:space="preserve">Email:    </w:t>
      </w:r>
      <w:hyperlink r:id="rId22">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23">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tl w:val="0"/>
        </w:rPr>
      </w:r>
    </w:p>
    <w:p w:rsidR="00000000" w:rsidDel="00000000" w:rsidP="00000000" w:rsidRDefault="00000000" w:rsidRPr="00000000" w14:paraId="000000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5va0holz3qog" w:id="0"/>
      <w:bookmarkEnd w:id="0"/>
      <w:hyperlink r:id="rId24">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36">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d3x7v7i8qu7k" w:id="1"/>
      <w:bookmarkEnd w:id="1"/>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25">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26">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Fonts w:ascii="Arial" w:cs="Arial" w:eastAsia="Arial" w:hAnsi="Arial"/>
          <w:b w:val="1"/>
          <w:sz w:val="26"/>
          <w:szCs w:val="26"/>
          <w:rtl w:val="0"/>
        </w:rPr>
        <w:t xml:space="preserve">**PCHS Behavioral Health Tech</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wgb4efg0n3nt" w:id="2"/>
      <w:bookmarkEnd w:id="2"/>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3B">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27">
        <w:r w:rsidDel="00000000" w:rsidR="00000000" w:rsidRPr="00000000">
          <w:rPr>
            <w:rFonts w:ascii="Arial" w:cs="Arial" w:eastAsia="Arial" w:hAnsi="Arial"/>
            <w:b w:val="1"/>
            <w:color w:val="007db3"/>
            <w:u w:val="single"/>
            <w:rtl w:val="0"/>
          </w:rPr>
          <w:t xml:space="preserve">Fentanyl-Facts-Not-Fear-Flyer-English</w:t>
        </w:r>
      </w:hyperlink>
      <w:hyperlink r:id="rId28">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3C">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3D">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3E">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3F">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29">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t>
      </w:r>
    </w:p>
    <w:p w:rsidR="00000000" w:rsidDel="00000000" w:rsidP="00000000" w:rsidRDefault="00000000" w:rsidRPr="00000000" w14:paraId="00000040">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41">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42">
      <w:pPr>
        <w:numPr>
          <w:ilvl w:val="0"/>
          <w:numId w:val="2"/>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43">
      <w:pPr>
        <w:numPr>
          <w:ilvl w:val="0"/>
          <w:numId w:val="2"/>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44">
      <w:pPr>
        <w:numPr>
          <w:ilvl w:val="0"/>
          <w:numId w:val="2"/>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45">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30">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46">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47">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48">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49">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4A">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31">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 or don’t use in the first place</w:t>
      </w:r>
    </w:p>
    <w:p w:rsidR="00000000" w:rsidDel="00000000" w:rsidP="00000000" w:rsidRDefault="00000000" w:rsidRPr="00000000" w14:paraId="0000004B">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32">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33">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34">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4C">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D">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35">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4E">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4F">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0">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36">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51">
      <w:pPr>
        <w:spacing w:after="320" w:before="220" w:line="335.9999999999999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line="335.99999999999994" w:lineRule="auto"/>
        <w:rPr>
          <w:rFonts w:ascii="Arial" w:cs="Arial" w:eastAsia="Arial" w:hAnsi="Arial"/>
          <w:color w:val="191919"/>
          <w:sz w:val="27"/>
          <w:szCs w:val="27"/>
        </w:rPr>
      </w:pPr>
      <w:r w:rsidDel="00000000" w:rsidR="00000000" w:rsidRPr="00000000">
        <w:rPr>
          <w:rtl w:val="0"/>
        </w:rPr>
      </w:r>
    </w:p>
    <w:p w:rsidR="00000000" w:rsidDel="00000000" w:rsidP="00000000" w:rsidRDefault="00000000" w:rsidRPr="00000000" w14:paraId="00000053">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54">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5">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240" w:before="240" w:lineRule="auto"/>
        <w:rPr>
          <w:rFonts w:ascii="Arial" w:cs="Arial" w:eastAsia="Arial" w:hAnsi="Arial"/>
          <w:b w:val="1"/>
        </w:rPr>
      </w:pPr>
      <w:r w:rsidDel="00000000" w:rsidR="00000000" w:rsidRPr="00000000">
        <w:rPr>
          <w:rFonts w:ascii="Arial" w:cs="Arial" w:eastAsia="Arial" w:hAnsi="Arial"/>
          <w:b w:val="1"/>
          <w:rtl w:val="0"/>
        </w:rPr>
        <w:tab/>
        <w:tab/>
      </w:r>
    </w:p>
    <w:p w:rsidR="00000000" w:rsidDel="00000000" w:rsidP="00000000" w:rsidRDefault="00000000" w:rsidRPr="00000000" w14:paraId="00000059">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B">
      <w:pPr>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5C">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iercecountywa.gov/FormCenter/Human-Services-18/The-Road-Home-Membership-Candidate-Appli-566" TargetMode="External"/><Relationship Id="rId22" Type="http://schemas.openxmlformats.org/officeDocument/2006/relationships/hyperlink" Target="mailto:ehdrinkingwater@tpdhc.org" TargetMode="External"/><Relationship Id="rId21" Type="http://schemas.openxmlformats.org/officeDocument/2006/relationships/hyperlink" Target="https://www.pugetsoundaa.org/find-a-meeting" TargetMode="External"/><Relationship Id="rId24"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23" Type="http://schemas.openxmlformats.org/officeDocument/2006/relationships/hyperlink" Target="http://www.tpchd.org/drink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26"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25"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28" Type="http://schemas.openxmlformats.org/officeDocument/2006/relationships/hyperlink" Target="https://tpchd.org/wp-content/uploads/2024/02/Fental-Facts-Not-Fear-Flyer-English.pdf" TargetMode="External"/><Relationship Id="rId27" Type="http://schemas.openxmlformats.org/officeDocument/2006/relationships/hyperlink" Target="https://tpchd.org/wp-content/uploads/2024/02/Fental-Facts-Not-Fear-Flyer-English.pdf" TargetMode="External"/><Relationship Id="rId5" Type="http://schemas.openxmlformats.org/officeDocument/2006/relationships/styles" Target="styles.xml"/><Relationship Id="rId6"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29" Type="http://schemas.openxmlformats.org/officeDocument/2006/relationships/hyperlink" Target="https://granicus.com/success-stories/how-pandemic-lessons-shifted-digital-community-outreach/" TargetMode="External"/><Relationship Id="rId7"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8"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31" Type="http://schemas.openxmlformats.org/officeDocument/2006/relationships/hyperlink" Target="https://fentanylfacts.org/sample-home-page/stay-safer/" TargetMode="External"/><Relationship Id="rId30" Type="http://schemas.openxmlformats.org/officeDocument/2006/relationships/hyperlink" Target="https://fentanylfacts.org/" TargetMode="External"/><Relationship Id="rId11"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3" Type="http://schemas.openxmlformats.org/officeDocument/2006/relationships/hyperlink" Target="https://tpchd.org/i-want-to/about-us/sign-up-for-notifications/" TargetMode="External"/><Relationship Id="rId10" Type="http://schemas.openxmlformats.org/officeDocument/2006/relationships/hyperlink" Target="https://www.bing.com/ck/a?!&amp;&amp;p=cf32fdbf758af985af84c2252a78468f682517b614db475bfd86e4c27468acb7JmltdHM9MTc0NjU3NjAwMA&amp;ptn=3&amp;ver=2&amp;hsh=4&amp;fclid=1ccaf5ff-277e-6d2d-106e-e01d26c46c51&amp;u=a1aHR0cHM6Ly9sZXdpc2JyaXNib2lzLmNvbS9uZXdzcm9vbS9sZWdhbC1hbGVydHMvd2FzaGluZ3Rvbi1zdGF0ZS1sYXdtYWtlcnMtcGFzcy1zdGF0ZXdpZGUtcmVudC1zdGFiaWxpemF0aW9uLWxlZ2lzbGF0aW9u&amp;ntb=1" TargetMode="External"/><Relationship Id="rId32" Type="http://schemas.openxmlformats.org/officeDocument/2006/relationships/hyperlink" Target="https://fentanylfacts.org/" TargetMode="External"/><Relationship Id="rId13"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5" Type="http://schemas.openxmlformats.org/officeDocument/2006/relationships/hyperlink" Target="http://www.thechangeprogram.com" TargetMode="External"/><Relationship Id="rId12"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4" Type="http://schemas.openxmlformats.org/officeDocument/2006/relationships/hyperlink" Target="https://www.tpchd.org/i-want-to/about-the-health-department/sign-up-for-notifications" TargetMode="External"/><Relationship Id="rId15"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14" Type="http://schemas.openxmlformats.org/officeDocument/2006/relationships/hyperlink" Target="https://www.bing.com/ck/a?!&amp;&amp;p=ef3a30f6a1fe48b900649897d0e2285c1cde199c207fd16b3ff4cafda28f175fJmltdHM9MTc0NjU3NjAwMA&amp;ptn=3&amp;ver=2&amp;hsh=4&amp;fclid=1ccaf5ff-277e-6d2d-106e-e01d26c46c51&amp;u=a1aHR0cHM6Ly93d3cuY2FzY2FkZXBicy5vcmcvcG9saXRpY3MvMjAyNS8wNC93YS1sZWdpc2xhdHVyZS1hcHByb3Zlcy15ZWFybHktcmVudC1jYXBzLWp1c3QtdW5kZXItd2lyZQ&amp;ntb=1" TargetMode="External"/><Relationship Id="rId36" Type="http://schemas.openxmlformats.org/officeDocument/2006/relationships/hyperlink" Target="https://www.piercecountywa.gov/7845/Pierce-County-Village" TargetMode="External"/><Relationship Id="rId17" Type="http://schemas.openxmlformats.org/officeDocument/2006/relationships/hyperlink" Target="https://www.bing.com/ck/a?!&amp;&amp;p=acfdd0a1b8bf3844d9b817a08561dbb86956c6a25feedb30cfdf488d1316a542JmltdHM9MTc0NjU3NjAwMA&amp;ptn=3&amp;ver=2&amp;hsh=4&amp;fclid=1ccaf5ff-277e-6d2d-106e-e01d26c46c51&amp;u=a1aHR0cHM6Ly93YXNoaW5ndG9uZ3IuY29tL2hiLTEyMTctdGltZWxpbmUv&amp;ntb=1" TargetMode="External"/><Relationship Id="rId16" Type="http://schemas.openxmlformats.org/officeDocument/2006/relationships/hyperlink" Target="https://www.bing.com/ck/a?!&amp;&amp;p=acfdd0a1b8bf3844d9b817a08561dbb86956c6a25feedb30cfdf488d1316a542JmltdHM9MTc0NjU3NjAwMA&amp;ptn=3&amp;ver=2&amp;hsh=4&amp;fclid=1ccaf5ff-277e-6d2d-106e-e01d26c46c51&amp;u=a1aHR0cHM6Ly93YXNoaW5ndG9uZ3IuY29tL2hiLTEyMTctdGltZWxpbmUv&amp;ntb=1" TargetMode="External"/><Relationship Id="rId19" Type="http://schemas.openxmlformats.org/officeDocument/2006/relationships/hyperlink" Target="https://online.co.pierce.wa.us/cfapps/council/iview/proposal.cfm?proposal_num=R2024-253" TargetMode="External"/><Relationship Id="rId18" Type="http://schemas.openxmlformats.org/officeDocument/2006/relationships/hyperlink" Target="https://www.piercecountywa.gov/702/Senior-Citizens-Or-People-with-Disabil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